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Default="00535ED4" w:rsidP="00405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Жоба</w:t>
      </w:r>
      <w:r w:rsidR="00A65327" w:rsidRPr="000F7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қысқаша мәліметтер</w:t>
      </w:r>
    </w:p>
    <w:p w:rsidR="00405F53" w:rsidRPr="000F7540" w:rsidRDefault="00405F53" w:rsidP="00405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432"/>
        <w:gridCol w:w="6315"/>
      </w:tblGrid>
      <w:tr w:rsidR="009355DC" w:rsidRPr="00632D90" w:rsidTr="00405F53">
        <w:trPr>
          <w:trHeight w:val="622"/>
        </w:trPr>
        <w:tc>
          <w:tcPr>
            <w:tcW w:w="3432" w:type="dxa"/>
            <w:vAlign w:val="center"/>
          </w:tcPr>
          <w:p w:rsidR="009355DC" w:rsidRPr="000F7540" w:rsidRDefault="00A332B3" w:rsidP="00A65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</w:t>
            </w:r>
            <w:r w:rsidR="00AA5B6E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="00A65327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проектің атауы</w:t>
            </w:r>
            <w:r w:rsidR="009355DC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315" w:type="dxa"/>
            <w:vAlign w:val="center"/>
          </w:tcPr>
          <w:p w:rsidR="00BC2A03" w:rsidRPr="000F7540" w:rsidRDefault="00BC2A03" w:rsidP="00BC2A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AP19678022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BC2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Алаш ғалымдарының фольклортанушылық қызметі: ХХ ғасырдың басы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355DC" w:rsidRPr="009262C0" w:rsidTr="006B3073">
        <w:trPr>
          <w:trHeight w:val="425"/>
        </w:trPr>
        <w:tc>
          <w:tcPr>
            <w:tcW w:w="3432" w:type="dxa"/>
            <w:vAlign w:val="center"/>
          </w:tcPr>
          <w:p w:rsidR="009355DC" w:rsidRPr="00535ED4" w:rsidRDefault="00535ED4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ED4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="009355DC" w:rsidRPr="00535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315" w:type="dxa"/>
            <w:vAlign w:val="center"/>
          </w:tcPr>
          <w:p w:rsidR="009355DC" w:rsidRPr="000F7540" w:rsidRDefault="00F1346C" w:rsidP="00E7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01.07.2023 – 31.12.2025</w:t>
            </w:r>
          </w:p>
        </w:tc>
      </w:tr>
      <w:tr w:rsidR="008E17D8" w:rsidRPr="00632D90" w:rsidTr="006B3073">
        <w:trPr>
          <w:trHeight w:val="425"/>
        </w:trPr>
        <w:tc>
          <w:tcPr>
            <w:tcW w:w="3432" w:type="dxa"/>
            <w:vAlign w:val="center"/>
          </w:tcPr>
          <w:p w:rsidR="008E17D8" w:rsidRPr="000F7540" w:rsidRDefault="00AC4D2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Өзектілігі</w:t>
            </w:r>
            <w:r w:rsidR="008E17D8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315" w:type="dxa"/>
            <w:vAlign w:val="center"/>
          </w:tcPr>
          <w:p w:rsidR="008E17D8" w:rsidRPr="000F7540" w:rsidRDefault="00F1346C" w:rsidP="00951C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фольклорын жинаудың, жариялаудың, зерттеудің алғашқы тәжірибелері сонау XVIII, ХІХ ғасырлардан бастау алғаны мәлім. ХІХ ғасырдағы Ш. Уәлиханов, В.</w:t>
            </w:r>
            <w:r w:rsidR="00BE5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3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Радлов, Г.</w:t>
            </w:r>
            <w:r w:rsidR="00BE5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3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 Потанин, А. Васильев және тағы басқа да фольклор шығармаларын жинаушылар еңбегінің маңыздылығы </w:t>
            </w:r>
            <w:r w:rsidR="00632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13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 көп жылдық тәжірибеге сүйеніп, халықтық үлг</w:t>
            </w:r>
            <w:r w:rsidR="00632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ілерді</w:t>
            </w:r>
            <w:r w:rsidRPr="00F13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жазып алу әдісін қалыптастырды. Ал олар қалыптастырған жинау тәсілдері мен жариялау шарттарын ХХ ғасыр басында іске асырған Алаш қайраткерлері: М.</w:t>
            </w:r>
            <w:r w:rsidR="00BE5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3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Көпеев, А. Байтұрсынов, Ә. Бөкейханов, Х. Досмұхамедұлы, М. Әуезов сияқты ғұламалардың фольклортанушылық қызметтерін Жаңа Қазақстан құруға бағытталған Мемлекеттік бағдарламаға сәйкес жан-жақты зерттеуді қажет етеді. Бұған дейін Алаш ғалымдарының фольклортанушылық қызметі арнайы зерттеу аспектісіне айналған жоқ. Сол себепті аталған Алаш қайраткерлерінің қазақ фольклоры туралы айтқандары, фольклор үлгілерін жинаудағы әдіс-тәсілдері, фольклорды жариялауда алға қойған мақсаттары және фольклорды зерттеуі т.б. – бәрі фольклортану ғылымының жай-жапсарын, оның салаларының даму барысын зерттеу, ғылымның қандай межелерге жеткенін, нендей мақсаттар қойып, қандай мәселелерді қандай дәрежеде шешкенін анықтау үшін өте маңызды.</w:t>
            </w:r>
          </w:p>
        </w:tc>
      </w:tr>
      <w:tr w:rsidR="008E17D8" w:rsidRPr="00632D90" w:rsidTr="006B3073">
        <w:trPr>
          <w:trHeight w:val="425"/>
        </w:trPr>
        <w:tc>
          <w:tcPr>
            <w:tcW w:w="3432" w:type="dxa"/>
            <w:vAlign w:val="center"/>
          </w:tcPr>
          <w:p w:rsidR="008E17D8" w:rsidRPr="000F7540" w:rsidRDefault="00A65327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="008E17D8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315" w:type="dxa"/>
            <w:vAlign w:val="center"/>
          </w:tcPr>
          <w:p w:rsidR="008E17D8" w:rsidRPr="000F7540" w:rsidRDefault="00CB52FD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жобаның басты мақсаты – Алаш қайраткерлерінің қазақ фольклоры туралы айтқандарын, фольклор үлгілерін жинаудағы әдіс-тәсілдерін, фольклорды жариялауда алға қойған мақсаттарын т.б. зерттеу.</w:t>
            </w:r>
          </w:p>
        </w:tc>
      </w:tr>
      <w:tr w:rsidR="009355DC" w:rsidRPr="00632D90" w:rsidTr="006B3073">
        <w:trPr>
          <w:trHeight w:val="425"/>
        </w:trPr>
        <w:tc>
          <w:tcPr>
            <w:tcW w:w="3432" w:type="dxa"/>
            <w:vAlign w:val="center"/>
          </w:tcPr>
          <w:p w:rsidR="009355DC" w:rsidRPr="000F7540" w:rsidRDefault="00A65327" w:rsidP="00A653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және қол жеткізген нәтижелер</w:t>
            </w:r>
            <w:r w:rsidR="009355DC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315" w:type="dxa"/>
            <w:vAlign w:val="center"/>
          </w:tcPr>
          <w:p w:rsidR="00BE55F8" w:rsidRPr="00632D90" w:rsidRDefault="00BE55F8" w:rsidP="00632D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Күтілетін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нәтижелер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>:</w:t>
            </w:r>
          </w:p>
          <w:p w:rsidR="00CB52FD" w:rsidRPr="00632D90" w:rsidRDefault="00CB52FD" w:rsidP="00632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Аталған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жобаның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аяқталу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қорытындысы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келесі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мәселелер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жүзеге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асырылады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>:</w:t>
            </w:r>
          </w:p>
          <w:p w:rsidR="00CB52FD" w:rsidRPr="00632D90" w:rsidRDefault="00CB52FD" w:rsidP="00632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Web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базасының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Citation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Index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Arts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Humanities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Citation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Index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Scopus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базасындағы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CiteScore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35 (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отыз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бес)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процентильге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ие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рецензияланатын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ғылыми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басылымда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1 (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бір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мақала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шолу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жариялау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>;</w:t>
            </w:r>
          </w:p>
          <w:p w:rsidR="00CB52FD" w:rsidRPr="00632D90" w:rsidRDefault="00CB52FD" w:rsidP="00632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- ҒЖБССҚК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ұсынған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рецензияланатын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шетелдік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отандық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басылымда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5 (бес)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мақала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жариялау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т.б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>.;</w:t>
            </w:r>
          </w:p>
          <w:p w:rsidR="00CB52FD" w:rsidRPr="00632D90" w:rsidRDefault="00CB52FD" w:rsidP="00632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жұмыстың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қорытындысы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ретінде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ұжымдық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монография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әзірлеу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Бұл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ғылыми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еңбек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қазақ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фольклоры,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әдебиетіне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тіліне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тарихына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этнографиясына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философиясына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қазақ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мәдениетінің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дамуына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елдің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әлеуметтік-экономикалық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дамуына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өлшеусіз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үлес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қосады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>.</w:t>
            </w:r>
          </w:p>
          <w:p w:rsidR="00CB52FD" w:rsidRPr="00632D90" w:rsidRDefault="00CB52FD" w:rsidP="00632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әзірленген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ғылыми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негізінен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ғылымның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салаларына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фольклортанудың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әдебиеттанудың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тілтанудың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тарихтың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этнографияның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lastRenderedPageBreak/>
              <w:t>философияның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т.б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дамуына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таптырмас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дереккөздері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болары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сөзсіз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>;</w:t>
            </w:r>
          </w:p>
          <w:p w:rsidR="00CB52FD" w:rsidRPr="00632D90" w:rsidRDefault="00CB52FD" w:rsidP="00632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алынған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ғылыми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нәтижелер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филология,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фольклортану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тілтану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әдебиеттану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тарихтану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салаларының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т.б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зерттеушілеріне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мектеп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мұғалімдері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мен ЖОО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студенттеріне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магистранттарына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докторанттарына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мәдениет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жанашырларына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арналады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>;</w:t>
            </w:r>
          </w:p>
          <w:p w:rsidR="00CB52FD" w:rsidRPr="00632D90" w:rsidRDefault="00CB52FD" w:rsidP="00632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Республикасының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әлеуметтік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қоғамдық-гуманитарлық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ғылымдардың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өзекті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мәселелерін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т.б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шешуге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арналады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>;</w:t>
            </w:r>
          </w:p>
          <w:p w:rsidR="00540533" w:rsidRPr="00632D90" w:rsidRDefault="00CB52FD" w:rsidP="00632D90">
            <w:pPr>
              <w:jc w:val="both"/>
              <w:rPr>
                <w:w w:val="110"/>
                <w:lang w:val="kk-KZ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әлеуетті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пайдаланушыларға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ғалымдар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қоғамдастығының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кең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жұртшылықтың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арасында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кеңінен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насихатталады</w:t>
            </w:r>
            <w:proofErr w:type="spellEnd"/>
            <w:r w:rsidRPr="00632D90">
              <w:rPr>
                <w:w w:val="110"/>
                <w:lang w:val="kk-KZ"/>
              </w:rPr>
              <w:t>.</w:t>
            </w:r>
          </w:p>
          <w:p w:rsidR="00E40B20" w:rsidRPr="00632D90" w:rsidRDefault="00E40B20" w:rsidP="00632D90">
            <w:pPr>
              <w:jc w:val="both"/>
              <w:rPr>
                <w:rFonts w:ascii="Times New Roman" w:hAnsi="Times New Roman" w:cs="Times New Roman"/>
                <w:w w:val="110"/>
                <w:sz w:val="24"/>
                <w:lang w:val="kk-KZ"/>
              </w:rPr>
            </w:pPr>
          </w:p>
          <w:p w:rsidR="00BE55F8" w:rsidRPr="00632D90" w:rsidRDefault="00BE55F8" w:rsidP="00CB52FD">
            <w:pPr>
              <w:widowControl w:val="0"/>
              <w:tabs>
                <w:tab w:val="left" w:pos="851"/>
              </w:tabs>
              <w:ind w:right="-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2D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 жеткізген нәтижелер:</w:t>
            </w:r>
          </w:p>
          <w:p w:rsidR="00BD0335" w:rsidRPr="00632D90" w:rsidRDefault="00BE55F8" w:rsidP="0063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Ұжымдық монографияның кіріспесі, 1</w:t>
            </w:r>
            <w:r w:rsid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-4</w:t>
            </w:r>
            <w:r w:rsidRP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тарауша</w:t>
            </w:r>
            <w:r w:rsid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</w:t>
            </w:r>
            <w:r w:rsidRP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 әзірленді. Қазақстан Республикасы Ғылым және жоғары білім министрлігі Ғылым және жоғары білім саласында cапаны қамтамасыз ету комитетімен ұсынылған журналдарда </w:t>
            </w:r>
            <w:r w:rsid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мақала жарияланды.</w:t>
            </w:r>
          </w:p>
        </w:tc>
      </w:tr>
      <w:tr w:rsidR="00C37CF8" w:rsidRPr="005E7233" w:rsidTr="006B3073">
        <w:trPr>
          <w:trHeight w:val="425"/>
        </w:trPr>
        <w:tc>
          <w:tcPr>
            <w:tcW w:w="3432" w:type="dxa"/>
            <w:vAlign w:val="center"/>
          </w:tcPr>
          <w:p w:rsidR="00C37CF8" w:rsidRPr="000F7540" w:rsidRDefault="00A65327" w:rsidP="00D004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561972"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</w:t>
            </w:r>
            <w:r w:rsidR="00632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жылдық зерттеудің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нәтижелері </w:t>
            </w:r>
          </w:p>
        </w:tc>
        <w:tc>
          <w:tcPr>
            <w:tcW w:w="6315" w:type="dxa"/>
            <w:vAlign w:val="center"/>
          </w:tcPr>
          <w:p w:rsidR="00540533" w:rsidRDefault="00540533" w:rsidP="00540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ҒЖБМ ҒЖБССҚК </w:t>
            </w:r>
            <w:r w:rsidR="0077769B" w:rsidRPr="00540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ұсынылған журналдарда</w:t>
            </w:r>
            <w:r w:rsid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жарияланған мақалалар тізімі:</w:t>
            </w:r>
          </w:p>
          <w:p w:rsidR="0077769B" w:rsidRPr="0077769B" w:rsidRDefault="0077769B" w:rsidP="00777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Жусупов Н.</w:t>
            </w:r>
            <w:r w:rsid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К., Баратова М.</w:t>
            </w:r>
            <w:r w:rsid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Н. 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Фольклористическая деятельность ученых Алаш: Машхур Жусип Копеев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// </w:t>
            </w:r>
            <w:r w:rsidR="00632D90" w:rsidRPr="00632D90">
              <w:rPr>
                <w:rFonts w:ascii="Times New Roman" w:hAnsi="Times New Roman" w:cs="Times New Roman"/>
                <w:sz w:val="24"/>
              </w:rPr>
              <w:t xml:space="preserve">Вестник </w:t>
            </w:r>
            <w:proofErr w:type="spellStart"/>
            <w:r w:rsidR="00632D90" w:rsidRPr="00632D90">
              <w:rPr>
                <w:rFonts w:ascii="Times New Roman" w:hAnsi="Times New Roman" w:cs="Times New Roman"/>
                <w:sz w:val="24"/>
              </w:rPr>
              <w:t>Торайгыров</w:t>
            </w:r>
            <w:proofErr w:type="spellEnd"/>
            <w:r w:rsidR="00632D90" w:rsidRPr="00632D90">
              <w:rPr>
                <w:rFonts w:ascii="Times New Roman" w:hAnsi="Times New Roman" w:cs="Times New Roman"/>
                <w:sz w:val="24"/>
              </w:rPr>
              <w:t xml:space="preserve"> университета. Филологическая серия. – Павлодар: «</w:t>
            </w:r>
            <w:proofErr w:type="spellStart"/>
            <w:r w:rsidR="00632D90" w:rsidRPr="00632D90">
              <w:rPr>
                <w:rFonts w:ascii="Times New Roman" w:hAnsi="Times New Roman" w:cs="Times New Roman"/>
                <w:sz w:val="24"/>
              </w:rPr>
              <w:t>Toraighyrov</w:t>
            </w:r>
            <w:proofErr w:type="spellEnd"/>
            <w:r w:rsidR="00632D90"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32D90" w:rsidRPr="00632D90">
              <w:rPr>
                <w:rFonts w:ascii="Times New Roman" w:hAnsi="Times New Roman" w:cs="Times New Roman"/>
                <w:sz w:val="24"/>
              </w:rPr>
              <w:t>University</w:t>
            </w:r>
            <w:proofErr w:type="spellEnd"/>
            <w:r w:rsidR="00632D90" w:rsidRPr="00632D90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356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2023. </w:t>
            </w:r>
            <w:r w:rsidR="00356975"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 3.</w:t>
            </w:r>
            <w:r w:rsidR="003569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890A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87-97.</w:t>
            </w:r>
          </w:p>
          <w:p w:rsidR="0077769B" w:rsidRDefault="0077769B" w:rsidP="00777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DOI: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</w:instrTex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>https://doi.org/10.48081/VIQB3198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3712F7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https://doi.org/10.48081/VIQB3198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32D90" w:rsidRPr="00890AC8" w:rsidRDefault="00632D90" w:rsidP="00890AC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90AC8">
              <w:rPr>
                <w:rFonts w:ascii="Times New Roman" w:hAnsi="Times New Roman" w:cs="Times New Roman"/>
                <w:sz w:val="24"/>
              </w:rPr>
              <w:t xml:space="preserve">2) </w:t>
            </w:r>
            <w:proofErr w:type="spellStart"/>
            <w:r w:rsidR="00890AC8" w:rsidRPr="00890AC8">
              <w:rPr>
                <w:rFonts w:ascii="Times New Roman" w:hAnsi="Times New Roman" w:cs="Times New Roman"/>
                <w:sz w:val="24"/>
              </w:rPr>
              <w:t>Жусупов</w:t>
            </w:r>
            <w:proofErr w:type="spellEnd"/>
            <w:r w:rsidR="00890AC8" w:rsidRPr="00890AC8">
              <w:rPr>
                <w:rFonts w:ascii="Times New Roman" w:hAnsi="Times New Roman" w:cs="Times New Roman"/>
                <w:sz w:val="24"/>
              </w:rPr>
              <w:t xml:space="preserve"> Н. К., Баратова М. Н. Личность </w:t>
            </w:r>
            <w:proofErr w:type="spellStart"/>
            <w:r w:rsidR="00890AC8" w:rsidRPr="00890AC8">
              <w:rPr>
                <w:rFonts w:ascii="Times New Roman" w:hAnsi="Times New Roman" w:cs="Times New Roman"/>
                <w:sz w:val="24"/>
              </w:rPr>
              <w:t>Едиге</w:t>
            </w:r>
            <w:proofErr w:type="spellEnd"/>
            <w:r w:rsidR="00890AC8" w:rsidRPr="00890AC8">
              <w:rPr>
                <w:rFonts w:ascii="Times New Roman" w:hAnsi="Times New Roman" w:cs="Times New Roman"/>
                <w:sz w:val="24"/>
              </w:rPr>
              <w:t xml:space="preserve"> в рукописях </w:t>
            </w:r>
            <w:proofErr w:type="spellStart"/>
            <w:r w:rsidR="00890AC8" w:rsidRPr="00890AC8">
              <w:rPr>
                <w:rFonts w:ascii="Times New Roman" w:hAnsi="Times New Roman" w:cs="Times New Roman"/>
                <w:sz w:val="24"/>
              </w:rPr>
              <w:t>Машхур</w:t>
            </w:r>
            <w:proofErr w:type="spellEnd"/>
            <w:r w:rsidR="00890AC8" w:rsidRPr="00890A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90AC8" w:rsidRPr="00890AC8">
              <w:rPr>
                <w:rFonts w:ascii="Times New Roman" w:hAnsi="Times New Roman" w:cs="Times New Roman"/>
                <w:sz w:val="24"/>
              </w:rPr>
              <w:t>Жусипа</w:t>
            </w:r>
            <w:proofErr w:type="spellEnd"/>
            <w:r w:rsidR="00890AC8" w:rsidRPr="00890AC8">
              <w:rPr>
                <w:rFonts w:ascii="Times New Roman" w:hAnsi="Times New Roman" w:cs="Times New Roman"/>
                <w:sz w:val="24"/>
              </w:rPr>
              <w:t xml:space="preserve"> // Вестник </w:t>
            </w:r>
            <w:proofErr w:type="spellStart"/>
            <w:r w:rsidR="00890AC8" w:rsidRPr="00890AC8">
              <w:rPr>
                <w:rFonts w:ascii="Times New Roman" w:hAnsi="Times New Roman" w:cs="Times New Roman"/>
                <w:sz w:val="24"/>
              </w:rPr>
              <w:t>Торайгыров</w:t>
            </w:r>
            <w:proofErr w:type="spellEnd"/>
            <w:r w:rsidR="00890AC8" w:rsidRPr="00890AC8">
              <w:rPr>
                <w:rFonts w:ascii="Times New Roman" w:hAnsi="Times New Roman" w:cs="Times New Roman"/>
                <w:sz w:val="24"/>
              </w:rPr>
              <w:t xml:space="preserve"> университета. Филологическая серия. – Павлодар: «</w:t>
            </w:r>
            <w:proofErr w:type="spellStart"/>
            <w:r w:rsidR="00890AC8" w:rsidRPr="00890AC8">
              <w:rPr>
                <w:rFonts w:ascii="Times New Roman" w:hAnsi="Times New Roman" w:cs="Times New Roman"/>
                <w:sz w:val="24"/>
              </w:rPr>
              <w:t>Toraighyrov</w:t>
            </w:r>
            <w:proofErr w:type="spellEnd"/>
            <w:r w:rsidR="00890AC8" w:rsidRPr="00890A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90AC8" w:rsidRPr="00890AC8">
              <w:rPr>
                <w:rFonts w:ascii="Times New Roman" w:hAnsi="Times New Roman" w:cs="Times New Roman"/>
                <w:sz w:val="24"/>
              </w:rPr>
              <w:t>University</w:t>
            </w:r>
            <w:proofErr w:type="spellEnd"/>
            <w:r w:rsidR="00890AC8" w:rsidRPr="00890AC8">
              <w:rPr>
                <w:rFonts w:ascii="Times New Roman" w:hAnsi="Times New Roman" w:cs="Times New Roman"/>
                <w:sz w:val="24"/>
              </w:rPr>
              <w:t>», 2023. – № 4. – С. 172-181.</w:t>
            </w:r>
          </w:p>
          <w:p w:rsidR="00890AC8" w:rsidRPr="00890AC8" w:rsidRDefault="00890AC8" w:rsidP="00890AC8">
            <w:pPr>
              <w:jc w:val="both"/>
              <w:rPr>
                <w:rFonts w:eastAsia="Times New Roman"/>
                <w:lang w:val="kk-KZ" w:eastAsia="ru-RU"/>
              </w:rPr>
            </w:pPr>
            <w:r w:rsidRPr="00890AC8">
              <w:rPr>
                <w:rFonts w:ascii="Times New Roman" w:hAnsi="Times New Roman" w:cs="Times New Roman"/>
                <w:sz w:val="24"/>
                <w:lang w:val="kk-KZ"/>
              </w:rPr>
              <w:t>DOI:</w:t>
            </w:r>
            <w:r w:rsidRPr="00890AC8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890AC8">
              <w:rPr>
                <w:rFonts w:ascii="Times New Roman" w:hAnsi="Times New Roman" w:cs="Times New Roman"/>
                <w:sz w:val="24"/>
                <w:lang w:val="kk-KZ"/>
              </w:rPr>
              <w:instrText xml:space="preserve"> HYPERLINK "https://doi.org/10.48081/TYUU7051" </w:instrText>
            </w:r>
            <w:r w:rsidRPr="00890AC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890AC8">
              <w:rPr>
                <w:rStyle w:val="a5"/>
                <w:rFonts w:ascii="Times New Roman" w:hAnsi="Times New Roman" w:cs="Times New Roman"/>
                <w:sz w:val="24"/>
                <w:lang w:val="kk-KZ"/>
              </w:rPr>
              <w:t>https://doi.org/10.48081/TYUU7051</w:t>
            </w:r>
            <w:r w:rsidRPr="00890AC8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890AC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632D90" w:rsidRPr="00632D90" w:rsidTr="006B3073">
        <w:trPr>
          <w:trHeight w:val="425"/>
        </w:trPr>
        <w:tc>
          <w:tcPr>
            <w:tcW w:w="3432" w:type="dxa"/>
            <w:vAlign w:val="center"/>
          </w:tcPr>
          <w:p w:rsidR="00632D90" w:rsidRPr="000F7540" w:rsidRDefault="00632D90" w:rsidP="004C6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жылдық зерттеудің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нәтижелері </w:t>
            </w:r>
          </w:p>
        </w:tc>
        <w:tc>
          <w:tcPr>
            <w:tcW w:w="6315" w:type="dxa"/>
            <w:vAlign w:val="center"/>
          </w:tcPr>
          <w:p w:rsidR="00632D90" w:rsidRDefault="00B123B6" w:rsidP="00632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ҒЖБМ Ғ</w:t>
            </w:r>
            <w:r w:rsid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ЖБССҚК </w:t>
            </w:r>
            <w:r w:rsidR="00632D90" w:rsidRPr="005405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ұсынылған журналдарда</w:t>
            </w:r>
            <w:r w:rsidR="00632D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жарияланған мақалалар тізімі:</w:t>
            </w:r>
          </w:p>
          <w:p w:rsidR="00890AC8" w:rsidRPr="00890AC8" w:rsidRDefault="00890AC8" w:rsidP="00890AC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890AC8">
              <w:rPr>
                <w:rFonts w:ascii="Times New Roman" w:hAnsi="Times New Roman" w:cs="Times New Roman"/>
                <w:sz w:val="24"/>
                <w:lang w:val="kk-KZ"/>
              </w:rPr>
              <w:t xml:space="preserve">) </w:t>
            </w:r>
            <w:r w:rsidR="00632D90" w:rsidRPr="00890AC8">
              <w:rPr>
                <w:rFonts w:ascii="Times New Roman" w:hAnsi="Times New Roman" w:cs="Times New Roman"/>
                <w:sz w:val="24"/>
                <w:lang w:val="kk-KZ"/>
              </w:rPr>
              <w:t xml:space="preserve">Жүсіпов Н. Қ., Баратова М. Н., Жүсіпова Г. Қ., Жүсіпов Е. Қ. Алаш ғалымдарының фольклортанушылық қызметі: Әлихан Бөкейханов // </w:t>
            </w:r>
            <w:r w:rsidRPr="00890AC8">
              <w:rPr>
                <w:rFonts w:ascii="Times New Roman" w:hAnsi="Times New Roman" w:cs="Times New Roman"/>
                <w:sz w:val="24"/>
                <w:lang w:val="kk-KZ"/>
              </w:rPr>
              <w:t xml:space="preserve">Торайғыров Университетінің Хабаршысы. Филологиялық сериясы. – Павлодар: «Toraighyrov University», 2024. – </w:t>
            </w:r>
            <w:r w:rsidR="00632D90" w:rsidRPr="00890AC8">
              <w:rPr>
                <w:rFonts w:ascii="Times New Roman" w:hAnsi="Times New Roman" w:cs="Times New Roman"/>
                <w:sz w:val="24"/>
                <w:lang w:val="kk-KZ"/>
              </w:rPr>
              <w:t>№ 1.</w:t>
            </w:r>
            <w:r w:rsidRPr="00890AC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32D90" w:rsidRPr="00890AC8">
              <w:rPr>
                <w:rFonts w:ascii="Times New Roman" w:hAnsi="Times New Roman" w:cs="Times New Roman"/>
                <w:sz w:val="24"/>
                <w:lang w:val="kk-KZ"/>
              </w:rPr>
              <w:t xml:space="preserve">– Б. 195-206. </w:t>
            </w:r>
          </w:p>
          <w:p w:rsidR="00632D90" w:rsidRPr="00890AC8" w:rsidRDefault="00632D90" w:rsidP="00890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0AC8">
              <w:rPr>
                <w:rFonts w:ascii="Times New Roman" w:hAnsi="Times New Roman" w:cs="Times New Roman"/>
                <w:sz w:val="24"/>
              </w:rPr>
              <w:t xml:space="preserve">DOI: </w:t>
            </w:r>
            <w:hyperlink r:id="rId5" w:history="1">
              <w:r w:rsidRPr="00890AC8">
                <w:rPr>
                  <w:rStyle w:val="a5"/>
                  <w:rFonts w:ascii="Times New Roman" w:hAnsi="Times New Roman" w:cs="Times New Roman"/>
                  <w:sz w:val="24"/>
                </w:rPr>
                <w:t>https://doi.org/10.48081/TZOC4207</w:t>
              </w:r>
            </w:hyperlink>
          </w:p>
          <w:p w:rsidR="00890AC8" w:rsidRDefault="00632D90" w:rsidP="00632D9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2)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Жүсіпов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Н. Қ., Баратова М. Н.,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Ерланова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А. Е.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Алаш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ғалымдарының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фольклортанушылық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қызметі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Халел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Досмұхамедов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//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Торайғыров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Университетінің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Хабаршысы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Филологиялық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сериясы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>. – Павлодар: «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Toraighyrov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University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», 2024. – № 2. – Б. 186-196. </w:t>
            </w:r>
          </w:p>
          <w:p w:rsidR="00632D90" w:rsidRPr="00632D90" w:rsidRDefault="00632D90" w:rsidP="00632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DOI: </w:t>
            </w:r>
            <w:hyperlink r:id="rId6" w:history="1">
              <w:r w:rsidRPr="00632D90">
                <w:rPr>
                  <w:rStyle w:val="a5"/>
                  <w:rFonts w:ascii="Times New Roman" w:hAnsi="Times New Roman" w:cs="Times New Roman"/>
                  <w:sz w:val="24"/>
                </w:rPr>
                <w:t>https://doi.org/10.48081/ZWGZ2231</w:t>
              </w:r>
            </w:hyperlink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32D90" w:rsidRPr="00890AC8" w:rsidRDefault="00632D90" w:rsidP="00632D9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32D90">
              <w:rPr>
                <w:rFonts w:ascii="Times New Roman" w:hAnsi="Times New Roman" w:cs="Times New Roman"/>
                <w:sz w:val="24"/>
              </w:rPr>
              <w:t xml:space="preserve">3)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Жусупов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Н. К., Баратова М. Н.,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Жусупова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Г. К.,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Жусупов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Е. К.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Машхур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Жусип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и ораторское искусство // Вестник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Торайгыров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университета. Филологическая серия. – Павлодар: «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Toraighyrov</w:t>
            </w:r>
            <w:proofErr w:type="spellEnd"/>
            <w:r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32D90">
              <w:rPr>
                <w:rFonts w:ascii="Times New Roman" w:hAnsi="Times New Roman" w:cs="Times New Roman"/>
                <w:sz w:val="24"/>
              </w:rPr>
              <w:t>Univers</w:t>
            </w:r>
            <w:r w:rsidR="00890AC8">
              <w:rPr>
                <w:rFonts w:ascii="Times New Roman" w:hAnsi="Times New Roman" w:cs="Times New Roman"/>
                <w:sz w:val="24"/>
              </w:rPr>
              <w:t>ity</w:t>
            </w:r>
            <w:proofErr w:type="spellEnd"/>
            <w:r w:rsidR="00890AC8">
              <w:rPr>
                <w:rFonts w:ascii="Times New Roman" w:hAnsi="Times New Roman" w:cs="Times New Roman"/>
                <w:sz w:val="24"/>
              </w:rPr>
              <w:t>», 2024. – № 3. – С. 95-105.</w:t>
            </w:r>
          </w:p>
          <w:p w:rsidR="00632D90" w:rsidRPr="00632D90" w:rsidRDefault="00632D90" w:rsidP="00632D90">
            <w:pPr>
              <w:jc w:val="both"/>
              <w:rPr>
                <w:lang w:val="kk-KZ"/>
              </w:rPr>
            </w:pPr>
            <w:r w:rsidRPr="00890AC8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DOI: </w:t>
            </w:r>
            <w:hyperlink r:id="rId7" w:history="1">
              <w:r w:rsidRPr="00890AC8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https://doi.org/10.48081/LIIZ2293</w:t>
              </w:r>
            </w:hyperlink>
            <w:r w:rsidRPr="00632D9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632D90" w:rsidRPr="000F7540" w:rsidTr="00E161AD">
        <w:trPr>
          <w:trHeight w:val="510"/>
        </w:trPr>
        <w:tc>
          <w:tcPr>
            <w:tcW w:w="9747" w:type="dxa"/>
            <w:gridSpan w:val="2"/>
            <w:vAlign w:val="center"/>
          </w:tcPr>
          <w:p w:rsidR="00632D90" w:rsidRPr="000F7540" w:rsidRDefault="00632D90" w:rsidP="0049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Ғылыми-зерттеу тобының құрамы</w:t>
            </w:r>
          </w:p>
        </w:tc>
      </w:tr>
      <w:tr w:rsidR="00632D90" w:rsidRPr="000F7540" w:rsidTr="00914580">
        <w:trPr>
          <w:trHeight w:val="425"/>
        </w:trPr>
        <w:tc>
          <w:tcPr>
            <w:tcW w:w="3432" w:type="dxa"/>
            <w:vMerge w:val="restart"/>
          </w:tcPr>
          <w:p w:rsidR="00914580" w:rsidRDefault="00914580" w:rsidP="009145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2D90" w:rsidRPr="000F7540" w:rsidRDefault="00632D90" w:rsidP="009145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00E542" wp14:editId="78680EF5">
                  <wp:extent cx="1695450" cy="2527300"/>
                  <wp:effectExtent l="0" t="0" r="0" b="6350"/>
                  <wp:docPr id="1" name="Рисунок 1" descr="Описание: папа сур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апа сур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  <w:vAlign w:val="center"/>
          </w:tcPr>
          <w:p w:rsidR="00632D90" w:rsidRPr="000F7540" w:rsidRDefault="00632D90" w:rsidP="00035C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6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Жусупов Нартай Куандыкович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0F7540" w:rsidRDefault="00632D90" w:rsidP="004948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Проектің ғылыми жетекшісі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0F7540" w:rsidRDefault="00632D90" w:rsidP="00BB3E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0F7540" w:rsidRDefault="00632D90" w:rsidP="00482E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филология ғылымдарының докторы, профессор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0F7540" w:rsidRDefault="00632D90" w:rsidP="004948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орны: «Торайғыров университеті» КЕАҚ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0F7540" w:rsidRDefault="00632D90" w:rsidP="00BB3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қызығушылығы: </w:t>
            </w:r>
            <w:r w:rsidRPr="00BB3E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гуманитарлық ғылымдар, тілдер мен әдебиет, әдебиет теориясы.</w:t>
            </w:r>
          </w:p>
        </w:tc>
      </w:tr>
      <w:tr w:rsidR="00632D90" w:rsidRPr="005E7233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881409" w:rsidRDefault="00632D90" w:rsidP="00C025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881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881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1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AAL-2439-2020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</w:instrText>
            </w:r>
            <w:r w:rsidRP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https://www.webofscience.com/wos/author/record/AAL-2439-2020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3712F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https://www.webofscience.com/wos/author/record/AAL-2439-2020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2D90" w:rsidRPr="00BC2A03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BB3EFC" w:rsidRDefault="00632D90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914580" w:rsidRDefault="00632D90" w:rsidP="00C025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55981905000 </w:t>
            </w:r>
            <w:hyperlink r:id="rId9" w:history="1">
              <w:r w:rsidRPr="003712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https://www.scopus.com/authid/detail.uri?authorId=55981905000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32D90" w:rsidRPr="00914580" w:rsidRDefault="00632D90" w:rsidP="009145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Хирш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Индекс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91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2446F4" w:rsidRDefault="00632D90" w:rsidP="00C025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46F4">
              <w:rPr>
                <w:rFonts w:ascii="Times New Roman" w:hAnsi="Times New Roman" w:cs="Times New Roman"/>
                <w:sz w:val="24"/>
                <w:szCs w:val="24"/>
              </w:rPr>
              <w:t>0000-0002-2111-6833</w:t>
            </w:r>
            <w:r w:rsidRPr="00244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32D90" w:rsidRPr="002446F4" w:rsidRDefault="005E7233" w:rsidP="00C025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632D90" w:rsidRPr="002446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https://orcid.org/0000-0002-2111-6833</w:t>
              </w:r>
            </w:hyperlink>
            <w:r w:rsidR="00632D90" w:rsidRPr="002446F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632D90" w:rsidRPr="0078066B" w:rsidTr="00E161AD">
        <w:trPr>
          <w:trHeight w:val="510"/>
        </w:trPr>
        <w:tc>
          <w:tcPr>
            <w:tcW w:w="3432" w:type="dxa"/>
            <w:vMerge/>
            <w:vAlign w:val="center"/>
          </w:tcPr>
          <w:p w:rsidR="00632D90" w:rsidRPr="000F7540" w:rsidRDefault="00632D90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6B3073" w:rsidRDefault="00632D90" w:rsidP="007B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Pr="006B30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2D90" w:rsidRDefault="00632D90" w:rsidP="00AC4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 – фольклортанушы ғалым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Торайғыров Университетінің Хабаршысы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Филологиялық сериясы.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Павлодар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2022. - № 3. – Б. 66-74.</w:t>
            </w:r>
          </w:p>
          <w:p w:rsidR="00632D90" w:rsidRDefault="00632D90" w:rsidP="00AC4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Байтұрсынұлының фольклортанушылық еңбегі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Торайғыров Университетінің Хабаршысы. Филологиялық сериясы.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2022. - № 4. – Б. 110-117.</w:t>
            </w:r>
          </w:p>
          <w:p w:rsidR="00632D90" w:rsidRDefault="00632D90" w:rsidP="00AC4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Мәшһүр Жүсіптің тарихи мұрасы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 тарихы,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2022.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(99). – Б. 44-51.</w:t>
            </w:r>
          </w:p>
          <w:p w:rsidR="00632D90" w:rsidRDefault="00632D90" w:rsidP="00AC4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сбора народной литературы Машхур Жусипом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B57CD9" w:rsidRPr="00632D90">
              <w:rPr>
                <w:rFonts w:ascii="Times New Roman" w:hAnsi="Times New Roman" w:cs="Times New Roman"/>
                <w:sz w:val="24"/>
              </w:rPr>
              <w:t xml:space="preserve">Вестник </w:t>
            </w:r>
            <w:proofErr w:type="spellStart"/>
            <w:r w:rsidR="00B57CD9" w:rsidRPr="00632D90">
              <w:rPr>
                <w:rFonts w:ascii="Times New Roman" w:hAnsi="Times New Roman" w:cs="Times New Roman"/>
                <w:sz w:val="24"/>
              </w:rPr>
              <w:t>Торайгыров</w:t>
            </w:r>
            <w:proofErr w:type="spellEnd"/>
            <w:r w:rsidR="00B57CD9" w:rsidRPr="00632D90">
              <w:rPr>
                <w:rFonts w:ascii="Times New Roman" w:hAnsi="Times New Roman" w:cs="Times New Roman"/>
                <w:sz w:val="24"/>
              </w:rPr>
              <w:t xml:space="preserve"> университета. Филологическая серия. – Павлодар: «</w:t>
            </w:r>
            <w:proofErr w:type="spellStart"/>
            <w:r w:rsidR="00B57CD9" w:rsidRPr="00632D90">
              <w:rPr>
                <w:rFonts w:ascii="Times New Roman" w:hAnsi="Times New Roman" w:cs="Times New Roman"/>
                <w:sz w:val="24"/>
              </w:rPr>
              <w:t>Toraighyrov</w:t>
            </w:r>
            <w:proofErr w:type="spellEnd"/>
            <w:r w:rsidR="00B57CD9"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7CD9" w:rsidRPr="00632D90">
              <w:rPr>
                <w:rFonts w:ascii="Times New Roman" w:hAnsi="Times New Roman" w:cs="Times New Roman"/>
                <w:sz w:val="24"/>
              </w:rPr>
              <w:t>Univers</w:t>
            </w:r>
            <w:r w:rsidR="00B57CD9">
              <w:rPr>
                <w:rFonts w:ascii="Times New Roman" w:hAnsi="Times New Roman" w:cs="Times New Roman"/>
                <w:sz w:val="24"/>
              </w:rPr>
              <w:t>ity</w:t>
            </w:r>
            <w:proofErr w:type="spellEnd"/>
            <w:r w:rsidR="00B57CD9">
              <w:rPr>
                <w:rFonts w:ascii="Times New Roman" w:hAnsi="Times New Roman" w:cs="Times New Roman"/>
                <w:sz w:val="24"/>
              </w:rPr>
              <w:t>»,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2023. </w:t>
            </w:r>
            <w:r w:rsidR="00B57CD9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1. – </w:t>
            </w:r>
            <w:r w:rsidR="00B57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147-155.</w:t>
            </w:r>
          </w:p>
          <w:p w:rsidR="00632D90" w:rsidRPr="00AC4155" w:rsidRDefault="00632D90" w:rsidP="007806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X. Досмұхамедұлы – фольклорист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Университетінің Хабаршысы.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Филологиялық сериясы. – Павлодар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2023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2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.– Б.112-122.</w:t>
            </w:r>
          </w:p>
        </w:tc>
      </w:tr>
      <w:tr w:rsidR="00632D90" w:rsidRPr="000F7540" w:rsidTr="00914580">
        <w:trPr>
          <w:trHeight w:val="425"/>
        </w:trPr>
        <w:tc>
          <w:tcPr>
            <w:tcW w:w="3432" w:type="dxa"/>
            <w:vMerge w:val="restart"/>
            <w:vAlign w:val="center"/>
          </w:tcPr>
          <w:p w:rsidR="00632D90" w:rsidRDefault="00632D90" w:rsidP="009145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14580" w:rsidRDefault="00914580" w:rsidP="009145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14580" w:rsidRDefault="00914580" w:rsidP="0091458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14580" w:rsidRDefault="00914580" w:rsidP="00914580">
            <w:pPr>
              <w:tabs>
                <w:tab w:val="center" w:pos="16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14580" w:rsidRDefault="00914580" w:rsidP="00914580">
            <w:pPr>
              <w:tabs>
                <w:tab w:val="center" w:pos="16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14580" w:rsidRDefault="00914580" w:rsidP="00914580">
            <w:pPr>
              <w:tabs>
                <w:tab w:val="center" w:pos="16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14580" w:rsidRDefault="00914580" w:rsidP="00914580">
            <w:pPr>
              <w:tabs>
                <w:tab w:val="center" w:pos="16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14580" w:rsidRDefault="00914580" w:rsidP="00914580">
            <w:pPr>
              <w:tabs>
                <w:tab w:val="center" w:pos="16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914580" w:rsidRDefault="00914580" w:rsidP="00914580">
            <w:pPr>
              <w:tabs>
                <w:tab w:val="center" w:pos="16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632D90" w:rsidRPr="00BB3EFC" w:rsidRDefault="00632D90" w:rsidP="00914580">
            <w:pPr>
              <w:tabs>
                <w:tab w:val="center" w:pos="16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D7EA98" wp14:editId="114FA828">
                  <wp:extent cx="1727200" cy="2603500"/>
                  <wp:effectExtent l="0" t="0" r="6350" b="6350"/>
                  <wp:docPr id="3" name="Рисунок 3" descr="Описание: C:\Users\пользователь\AppData\Local\Microsoft\Windows\INetCache\Content.Word\baratov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пользователь\AppData\Local\Microsoft\Windows\INetCache\Content.Word\baratov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  <w:vAlign w:val="center"/>
          </w:tcPr>
          <w:p w:rsidR="00632D90" w:rsidRPr="000F7540" w:rsidRDefault="00632D90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E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Баратова Мухаббат Нуржауовна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0F7540" w:rsidRDefault="00632D90" w:rsidP="008805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ғылыми қызметкер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0F7540" w:rsidRDefault="00632D90" w:rsidP="00BB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9.1970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0F7540" w:rsidRDefault="00632D90" w:rsidP="00BB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дәрежесі/академиялық дәреже: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филология ғылымдарының кандидаты</w:t>
            </w:r>
            <w:r w:rsidRPr="00BB3E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0F7540" w:rsidRDefault="00632D90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орны: «Торайғыров университеті» КЕАҚ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0F7540" w:rsidRDefault="00632D90" w:rsidP="00BB3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қызығушылықтары: </w:t>
            </w:r>
            <w:r w:rsidRPr="00BB3E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гуманитарлық ғылымдар, тілдер мен әдебиет, әдебиет теориясы.</w:t>
            </w:r>
          </w:p>
        </w:tc>
      </w:tr>
      <w:tr w:rsidR="00632D90" w:rsidRPr="00632D9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Default="00632D90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BB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B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4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AAQ-9584-2020</w:t>
            </w:r>
          </w:p>
          <w:p w:rsidR="00632D90" w:rsidRPr="00BB3EFC" w:rsidRDefault="005E723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632D90" w:rsidRPr="003712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https://www.webofscience.com/wos/author/record/AAQ-9584-2020</w:t>
              </w:r>
            </w:hyperlink>
            <w:r w:rsidR="00632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32D90" w:rsidRPr="00BC2A03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E161AD" w:rsidRDefault="00632D90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E161AD" w:rsidRDefault="00632D90" w:rsidP="00E161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6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55983049100</w:t>
            </w:r>
          </w:p>
          <w:p w:rsidR="00632D90" w:rsidRPr="00E161AD" w:rsidRDefault="005E7233" w:rsidP="00E161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632D90" w:rsidRPr="003712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https://www.scopus.com/authid/detail.uri?authorId=55983049100</w:t>
              </w:r>
            </w:hyperlink>
            <w:r w:rsidR="00632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2D90" w:rsidRPr="000F7540" w:rsidRDefault="00632D90" w:rsidP="009145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Хирш Индексі</w:t>
            </w:r>
            <w:r w:rsidRPr="00E16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91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  <w:vAlign w:val="center"/>
          </w:tcPr>
          <w:p w:rsidR="00632D90" w:rsidRPr="000F7540" w:rsidRDefault="00632D90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315" w:type="dxa"/>
            <w:vAlign w:val="center"/>
          </w:tcPr>
          <w:p w:rsidR="00632D90" w:rsidRDefault="00632D90" w:rsidP="00BB3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6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0000-0002-7509-5652</w:t>
            </w:r>
          </w:p>
          <w:p w:rsidR="00632D90" w:rsidRPr="000F7540" w:rsidRDefault="005E723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632D90" w:rsidRPr="003712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https://orcid.org/0000-0002-7509-5652</w:t>
              </w:r>
            </w:hyperlink>
            <w:r w:rsidR="00632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32D90" w:rsidRPr="00914580" w:rsidTr="00E161AD">
        <w:trPr>
          <w:trHeight w:val="510"/>
        </w:trPr>
        <w:tc>
          <w:tcPr>
            <w:tcW w:w="3432" w:type="dxa"/>
            <w:vMerge/>
            <w:vAlign w:val="center"/>
          </w:tcPr>
          <w:p w:rsidR="00632D90" w:rsidRPr="000F7540" w:rsidRDefault="00632D90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  <w:vAlign w:val="center"/>
          </w:tcPr>
          <w:p w:rsidR="00632D90" w:rsidRPr="006B3073" w:rsidRDefault="00632D90" w:rsidP="001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Pr="006B30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2D90" w:rsidRDefault="00632D90" w:rsidP="00AC4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 – фольклортанушы ғалым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Торайғыров Университетінің Хабаршысы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Филологиялық сериясы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Павлодар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2022. </w:t>
            </w:r>
            <w:r w:rsidR="00B123B6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3. – Б. 66-74.</w:t>
            </w:r>
          </w:p>
          <w:p w:rsidR="00632D90" w:rsidRDefault="00632D90" w:rsidP="00AC4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Байтұрсынұлының фольклортанушылық еңбегі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Торайғыров Университетінің Хабаршысы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Филологиялық сериясы.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Павлодар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2022. </w:t>
            </w:r>
            <w:r w:rsidR="00B123B6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4. – Б. 110-117.</w:t>
            </w:r>
          </w:p>
          <w:p w:rsidR="00632D90" w:rsidRDefault="00632D90" w:rsidP="00AC4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сбора народной литературы Машхур Жусипом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B57CD9" w:rsidRPr="00632D90">
              <w:rPr>
                <w:rFonts w:ascii="Times New Roman" w:hAnsi="Times New Roman" w:cs="Times New Roman"/>
                <w:sz w:val="24"/>
              </w:rPr>
              <w:t xml:space="preserve">Вестник </w:t>
            </w:r>
            <w:proofErr w:type="spellStart"/>
            <w:r w:rsidR="00B57CD9" w:rsidRPr="00632D90">
              <w:rPr>
                <w:rFonts w:ascii="Times New Roman" w:hAnsi="Times New Roman" w:cs="Times New Roman"/>
                <w:sz w:val="24"/>
              </w:rPr>
              <w:t>Торайгыров</w:t>
            </w:r>
            <w:proofErr w:type="spellEnd"/>
            <w:r w:rsidR="00B57CD9" w:rsidRPr="00632D90">
              <w:rPr>
                <w:rFonts w:ascii="Times New Roman" w:hAnsi="Times New Roman" w:cs="Times New Roman"/>
                <w:sz w:val="24"/>
              </w:rPr>
              <w:t xml:space="preserve"> университета. Филологическая серия. – Павлодар: «</w:t>
            </w:r>
            <w:proofErr w:type="spellStart"/>
            <w:r w:rsidR="00B57CD9" w:rsidRPr="00632D90">
              <w:rPr>
                <w:rFonts w:ascii="Times New Roman" w:hAnsi="Times New Roman" w:cs="Times New Roman"/>
                <w:sz w:val="24"/>
              </w:rPr>
              <w:t>Toraighyrov</w:t>
            </w:r>
            <w:proofErr w:type="spellEnd"/>
            <w:r w:rsidR="00B57CD9" w:rsidRPr="00632D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7CD9" w:rsidRPr="00632D90">
              <w:rPr>
                <w:rFonts w:ascii="Times New Roman" w:hAnsi="Times New Roman" w:cs="Times New Roman"/>
                <w:sz w:val="24"/>
              </w:rPr>
              <w:t>Univers</w:t>
            </w:r>
            <w:r w:rsidR="00B57CD9">
              <w:rPr>
                <w:rFonts w:ascii="Times New Roman" w:hAnsi="Times New Roman" w:cs="Times New Roman"/>
                <w:sz w:val="24"/>
              </w:rPr>
              <w:t>ity</w:t>
            </w:r>
            <w:proofErr w:type="spellEnd"/>
            <w:r w:rsidR="00B57CD9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2023. </w:t>
            </w:r>
            <w:r w:rsidR="00B123B6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1. – </w:t>
            </w:r>
            <w:r w:rsidR="00B57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147-155.</w:t>
            </w:r>
          </w:p>
          <w:p w:rsidR="00632D90" w:rsidRDefault="00632D90" w:rsidP="00AC4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X. Досмұхамедұлы – фольклорист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 Филологиялық сериясы.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Павлодар</w:t>
            </w:r>
            <w:r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№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Б.112-122.</w:t>
            </w:r>
          </w:p>
          <w:p w:rsidR="00632D90" w:rsidRDefault="00632D90" w:rsidP="007806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Мәшһүр Жүсіп Көпеев поэзиясы: дәстүр жалғастығы (кедейлік мәселесі)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 атындағы қазақ халықаралық қатынастар және әлем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тілдері университеті хабаршысы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Филология сериясы.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Полилингва, 2023. – № 3.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433-451.</w:t>
            </w:r>
          </w:p>
          <w:p w:rsidR="00914580" w:rsidRPr="00914580" w:rsidRDefault="00914580" w:rsidP="009145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Жалпы адамзаттық рухани құндылықтар теориясы // Еуразия гуманитарлық институтының Хабаршысы. – Астана: «А. Қ. Құсайынов атындағы Еуразия гуманитарлық институты», 2023. – № 4. – Б. 248-265.</w:t>
            </w:r>
          </w:p>
        </w:tc>
      </w:tr>
      <w:tr w:rsidR="00632D90" w:rsidRPr="000F7540" w:rsidTr="00844B0C">
        <w:trPr>
          <w:trHeight w:val="425"/>
        </w:trPr>
        <w:tc>
          <w:tcPr>
            <w:tcW w:w="3432" w:type="dxa"/>
            <w:vMerge w:val="restart"/>
          </w:tcPr>
          <w:p w:rsidR="00632D90" w:rsidRDefault="00632D90" w:rsidP="00E161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632D90" w:rsidRPr="00E161AD" w:rsidRDefault="00632D90" w:rsidP="00E161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0C8A9F" wp14:editId="172EC9C2">
                  <wp:extent cx="1802053" cy="2404073"/>
                  <wp:effectExtent l="0" t="0" r="8255" b="0"/>
                  <wp:docPr id="4" name="Рисунок 4" descr="C:\Users\ADMIN\Desktop\WhatsApp Image 2023-10-18 at 17.20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WhatsApp Image 2023-10-18 at 17.20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269" cy="240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  <w:vAlign w:val="center"/>
          </w:tcPr>
          <w:p w:rsidR="00632D90" w:rsidRPr="00E161AD" w:rsidRDefault="00632D90" w:rsidP="00844B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Ерланова Аяулым Ерлановна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қызметкер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6B5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28.09.1991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445CC7" w:rsidRDefault="00632D90" w:rsidP="006B58B6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proofErr w:type="spellStart"/>
            <w:r w:rsidRPr="00445CC7">
              <w:rPr>
                <w:rFonts w:ascii="Times New Roman" w:hAnsi="Times New Roman"/>
                <w:sz w:val="24"/>
                <w:szCs w:val="28"/>
              </w:rPr>
              <w:t>Ғылыми</w:t>
            </w:r>
            <w:proofErr w:type="spellEnd"/>
            <w:r w:rsidRPr="00445C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45CC7">
              <w:rPr>
                <w:rFonts w:ascii="Times New Roman" w:hAnsi="Times New Roman"/>
                <w:sz w:val="24"/>
                <w:szCs w:val="28"/>
              </w:rPr>
              <w:t>дәрежесі</w:t>
            </w:r>
            <w:proofErr w:type="spellEnd"/>
            <w:r w:rsidRPr="00445CC7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445CC7">
              <w:rPr>
                <w:rFonts w:ascii="Times New Roman" w:hAnsi="Times New Roman"/>
                <w:sz w:val="24"/>
                <w:szCs w:val="28"/>
              </w:rPr>
              <w:t>академиялық</w:t>
            </w:r>
            <w:proofErr w:type="spellEnd"/>
            <w:r w:rsidRPr="00445C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45CC7">
              <w:rPr>
                <w:rFonts w:ascii="Times New Roman" w:hAnsi="Times New Roman"/>
                <w:sz w:val="24"/>
                <w:szCs w:val="28"/>
              </w:rPr>
              <w:t>дәрежесі</w:t>
            </w:r>
            <w:proofErr w:type="spellEnd"/>
            <w:r w:rsidRPr="00445CC7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445CC7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магистр</w:t>
            </w:r>
          </w:p>
        </w:tc>
      </w:tr>
      <w:tr w:rsidR="00632D90" w:rsidRPr="000F7540" w:rsidTr="00E161AD">
        <w:trPr>
          <w:trHeight w:val="510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445CC7" w:rsidRDefault="00632D90" w:rsidP="00B123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45CC7">
              <w:rPr>
                <w:rFonts w:ascii="Times New Roman" w:hAnsi="Times New Roman"/>
                <w:sz w:val="24"/>
                <w:szCs w:val="28"/>
                <w:lang w:val="kk-KZ"/>
              </w:rPr>
              <w:t>Негізгі жұмыс орны: «Әлкей Марғұлан атындағы Павлодар педагогикалық университеті»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E4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қызығушылықтары: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гуманитарлық ғылымдар, тіл мен әдебиет, әдебиет теориясы, қазіргі қазақ әдебиеті, ХХ ғасыр басындағы әдебиет, әдебиет тарихы.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6B58B6" w:rsidRDefault="00632D90" w:rsidP="00C02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0F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F75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C02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632D90" w:rsidRPr="000F7540" w:rsidTr="00E161AD">
        <w:trPr>
          <w:trHeight w:val="510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315" w:type="dxa"/>
          </w:tcPr>
          <w:p w:rsidR="00632D90" w:rsidRDefault="00632D90" w:rsidP="00E161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6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0000-0002-0378-8708</w:t>
            </w:r>
          </w:p>
          <w:p w:rsidR="00632D90" w:rsidRPr="00E161AD" w:rsidRDefault="005E7233" w:rsidP="00C02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632D90" w:rsidRPr="003712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https://orcid.org/0000-0002-0378-8708</w:t>
              </w:r>
            </w:hyperlink>
            <w:r w:rsidR="0063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2D90" w:rsidRPr="00632D90" w:rsidTr="00E161AD">
        <w:trPr>
          <w:trHeight w:val="510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6B3073" w:rsidRDefault="00632D90" w:rsidP="00C0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 тізімі</w:t>
            </w:r>
            <w:r w:rsidRPr="006B30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5F53" w:rsidRDefault="00632D90" w:rsidP="00405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Мәшһүр Жүсіп Көпеев поэзиясы: дәстүр жалғастығы (кедейлік мәселесі) // </w:t>
            </w:r>
            <w:r w:rsidR="00405F53"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 атындағы қазақ халықаралық қатынастар және әлем</w:t>
            </w:r>
            <w:r w:rsidR="00405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тілдері университеті хабаршысы</w:t>
            </w:r>
            <w:r w:rsidR="00405F53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Филология сериясы. –</w:t>
            </w:r>
            <w:r w:rsidR="00405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5F53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="00405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405F53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Полилингва, 2023. – № 3. –</w:t>
            </w:r>
            <w:r w:rsidR="00405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5F53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433-451.</w:t>
            </w:r>
          </w:p>
          <w:p w:rsidR="00632D90" w:rsidRPr="00445CC7" w:rsidRDefault="00632D90" w:rsidP="00445C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B57CD9"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Мәшһүр Жүсіп поэтикасының ерекшеліктері // </w:t>
            </w:r>
            <w:r w:rsidR="00B57CD9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 Филологиялық сериясы.</w:t>
            </w:r>
            <w:r w:rsidR="00B57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7CD9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Павлодар</w:t>
            </w:r>
            <w:r w:rsidR="00B57CD9"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="00B57CD9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57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2023. </w:t>
            </w:r>
            <w:r w:rsidR="00B57CD9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B57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B12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7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– Б. 295-307.</w:t>
            </w:r>
          </w:p>
          <w:p w:rsidR="00632D90" w:rsidRPr="00445CC7" w:rsidRDefault="00632D90" w:rsidP="00445C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B57CD9"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Mashkhur Zhussip poetics: the use of national example // </w:t>
            </w:r>
            <w:r w:rsidR="00B57CD9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 Филологиялық сериясы.</w:t>
            </w:r>
            <w:r w:rsidR="00B57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7CD9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Павлодар</w:t>
            </w:r>
            <w:r w:rsidR="00B57CD9" w:rsidRPr="007776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«Toraighyrov University»</w:t>
            </w:r>
            <w:r w:rsidR="00B57CD9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57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7CD9"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2023. </w:t>
            </w:r>
            <w:r w:rsidR="00B57CD9"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B57CD9"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B12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7CD9"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– </w:t>
            </w:r>
            <w:r w:rsidR="00B57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</w:t>
            </w:r>
            <w:r w:rsidR="00B57CD9"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63-73.</w:t>
            </w:r>
          </w:p>
          <w:p w:rsidR="00632D90" w:rsidRPr="00445CC7" w:rsidRDefault="00632D90" w:rsidP="00445C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Мәшһүр Жүсіптің ағартушылық бағыттағы өлеңдерінің поэтикасы // Еуразия гуманитарлық институтының хабаршысы. Филология 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риясы. – 2022. </w:t>
            </w:r>
            <w:r w:rsidRPr="00AC4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B12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– Б. 102-109.</w:t>
            </w:r>
          </w:p>
          <w:p w:rsidR="00632D90" w:rsidRPr="000F7540" w:rsidRDefault="00632D90" w:rsidP="00445C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Linguisti</w:t>
            </w:r>
            <w:r w:rsidR="0056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 picture of the world </w:t>
            </w: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 the Poetry of M.Kopeev // Utopia y Praxic Latinoamericana; ISSN 1316-5216; ISSN-e 2477-9555 Ano 25, n Extra , 2020, pp. 14-28</w:t>
            </w:r>
          </w:p>
        </w:tc>
      </w:tr>
      <w:tr w:rsidR="00632D90" w:rsidRPr="000F7540" w:rsidTr="00342D21">
        <w:trPr>
          <w:trHeight w:val="425"/>
        </w:trPr>
        <w:tc>
          <w:tcPr>
            <w:tcW w:w="3432" w:type="dxa"/>
            <w:vMerge w:val="restart"/>
          </w:tcPr>
          <w:p w:rsidR="00632D90" w:rsidRDefault="00632D90" w:rsidP="00445CC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632D90" w:rsidRPr="00445CC7" w:rsidRDefault="00632D90" w:rsidP="00445CC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90039D" wp14:editId="3EE782F7">
                  <wp:extent cx="1689100" cy="2165350"/>
                  <wp:effectExtent l="0" t="0" r="6350" b="6350"/>
                  <wp:docPr id="6" name="Рисунок 6" descr="C:\Users\ADMIN\Desktop\Жүсіп М.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Жүсіп М.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21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  <w:vAlign w:val="center"/>
          </w:tcPr>
          <w:p w:rsidR="00632D90" w:rsidRPr="000F7540" w:rsidRDefault="00632D90" w:rsidP="00342D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Жүсіп Мукаррам Нартайқызы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C02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қызметкер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445C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күні: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445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дәрежесі/академиялық дәреже: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магистр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C02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орны: «Торайғыров университеті» КЕАҚ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BE55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75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қызығушылықтары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C02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0F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F75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C02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632D90" w:rsidRPr="000F7540" w:rsidTr="006B58B6">
        <w:trPr>
          <w:trHeight w:val="425"/>
        </w:trPr>
        <w:tc>
          <w:tcPr>
            <w:tcW w:w="3432" w:type="dxa"/>
            <w:vMerge/>
          </w:tcPr>
          <w:p w:rsidR="00632D90" w:rsidRPr="000F7540" w:rsidRDefault="00632D90" w:rsidP="00C025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315" w:type="dxa"/>
          </w:tcPr>
          <w:p w:rsidR="00632D90" w:rsidRPr="000F7540" w:rsidRDefault="00632D90" w:rsidP="00445C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0F7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5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0009-0006-0392-6513</w:t>
            </w:r>
          </w:p>
          <w:p w:rsidR="00632D90" w:rsidRPr="000F7540" w:rsidRDefault="005E7233" w:rsidP="00C02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632D90" w:rsidRPr="003712F7">
                <w:rPr>
                  <w:rStyle w:val="a5"/>
                  <w:rFonts w:ascii="Times New Roman" w:hAnsi="Times New Roman"/>
                  <w:sz w:val="24"/>
                  <w:szCs w:val="28"/>
                  <w:lang w:val="kk-KZ"/>
                </w:rPr>
                <w:t>https://orcid.org/0009-0006-0392-6513</w:t>
              </w:r>
            </w:hyperlink>
          </w:p>
        </w:tc>
      </w:tr>
    </w:tbl>
    <w:p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0738"/>
    <w:multiLevelType w:val="hybridMultilevel"/>
    <w:tmpl w:val="124EC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B3719"/>
    <w:multiLevelType w:val="hybridMultilevel"/>
    <w:tmpl w:val="6C08CB54"/>
    <w:lvl w:ilvl="0" w:tplc="E6BE9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F6BEB"/>
    <w:multiLevelType w:val="hybridMultilevel"/>
    <w:tmpl w:val="265A8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E322D"/>
    <w:multiLevelType w:val="hybridMultilevel"/>
    <w:tmpl w:val="10109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748F6"/>
    <w:multiLevelType w:val="hybridMultilevel"/>
    <w:tmpl w:val="F404C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1AE8"/>
    <w:rsid w:val="00035C33"/>
    <w:rsid w:val="00037565"/>
    <w:rsid w:val="00067BDB"/>
    <w:rsid w:val="00074C3D"/>
    <w:rsid w:val="000776FC"/>
    <w:rsid w:val="00083A53"/>
    <w:rsid w:val="00085617"/>
    <w:rsid w:val="000879DC"/>
    <w:rsid w:val="000A15CE"/>
    <w:rsid w:val="000A4EC7"/>
    <w:rsid w:val="000C4BC2"/>
    <w:rsid w:val="000F7540"/>
    <w:rsid w:val="00104B8E"/>
    <w:rsid w:val="00116F3A"/>
    <w:rsid w:val="00117980"/>
    <w:rsid w:val="0013328A"/>
    <w:rsid w:val="00140E12"/>
    <w:rsid w:val="001460CD"/>
    <w:rsid w:val="001532EE"/>
    <w:rsid w:val="001662E7"/>
    <w:rsid w:val="001852CF"/>
    <w:rsid w:val="00192B6A"/>
    <w:rsid w:val="001B31AC"/>
    <w:rsid w:val="001D7AAB"/>
    <w:rsid w:val="001E592D"/>
    <w:rsid w:val="001E65FA"/>
    <w:rsid w:val="001E6912"/>
    <w:rsid w:val="001F6623"/>
    <w:rsid w:val="00210422"/>
    <w:rsid w:val="00244E24"/>
    <w:rsid w:val="002475A0"/>
    <w:rsid w:val="002560F0"/>
    <w:rsid w:val="0025782F"/>
    <w:rsid w:val="002702E4"/>
    <w:rsid w:val="002748C8"/>
    <w:rsid w:val="00276189"/>
    <w:rsid w:val="0028605E"/>
    <w:rsid w:val="00292B40"/>
    <w:rsid w:val="002A739F"/>
    <w:rsid w:val="002B26F9"/>
    <w:rsid w:val="002B749A"/>
    <w:rsid w:val="00303A59"/>
    <w:rsid w:val="00303B4D"/>
    <w:rsid w:val="00315A33"/>
    <w:rsid w:val="00320756"/>
    <w:rsid w:val="00324947"/>
    <w:rsid w:val="003257E2"/>
    <w:rsid w:val="00335117"/>
    <w:rsid w:val="00342D21"/>
    <w:rsid w:val="00346A66"/>
    <w:rsid w:val="00356975"/>
    <w:rsid w:val="00392C04"/>
    <w:rsid w:val="003A5228"/>
    <w:rsid w:val="003B2859"/>
    <w:rsid w:val="003B3156"/>
    <w:rsid w:val="003C34C7"/>
    <w:rsid w:val="003D0A75"/>
    <w:rsid w:val="003D2FF8"/>
    <w:rsid w:val="003E304E"/>
    <w:rsid w:val="003E35AD"/>
    <w:rsid w:val="003E54C9"/>
    <w:rsid w:val="00402719"/>
    <w:rsid w:val="00405F53"/>
    <w:rsid w:val="00411BDD"/>
    <w:rsid w:val="004120AB"/>
    <w:rsid w:val="00416F14"/>
    <w:rsid w:val="004216F2"/>
    <w:rsid w:val="00422EEC"/>
    <w:rsid w:val="00430F81"/>
    <w:rsid w:val="00431A3B"/>
    <w:rsid w:val="00445CC7"/>
    <w:rsid w:val="0045381D"/>
    <w:rsid w:val="00461992"/>
    <w:rsid w:val="00475ECB"/>
    <w:rsid w:val="00482B03"/>
    <w:rsid w:val="00482EF3"/>
    <w:rsid w:val="00484A5C"/>
    <w:rsid w:val="00494832"/>
    <w:rsid w:val="00495FAD"/>
    <w:rsid w:val="004F20CA"/>
    <w:rsid w:val="00516575"/>
    <w:rsid w:val="00535ED4"/>
    <w:rsid w:val="005366B7"/>
    <w:rsid w:val="00540533"/>
    <w:rsid w:val="00541F38"/>
    <w:rsid w:val="00554D8A"/>
    <w:rsid w:val="0055576A"/>
    <w:rsid w:val="00561972"/>
    <w:rsid w:val="0056322C"/>
    <w:rsid w:val="00566AB4"/>
    <w:rsid w:val="00570C66"/>
    <w:rsid w:val="005755F3"/>
    <w:rsid w:val="00576821"/>
    <w:rsid w:val="00586FC6"/>
    <w:rsid w:val="00590E9B"/>
    <w:rsid w:val="005A16BC"/>
    <w:rsid w:val="005C145B"/>
    <w:rsid w:val="005C31D7"/>
    <w:rsid w:val="005D0A35"/>
    <w:rsid w:val="005E7233"/>
    <w:rsid w:val="00613E8D"/>
    <w:rsid w:val="00632D90"/>
    <w:rsid w:val="00637302"/>
    <w:rsid w:val="00647912"/>
    <w:rsid w:val="006539C1"/>
    <w:rsid w:val="00655C8C"/>
    <w:rsid w:val="00662477"/>
    <w:rsid w:val="00671241"/>
    <w:rsid w:val="00673D33"/>
    <w:rsid w:val="006930DF"/>
    <w:rsid w:val="00693431"/>
    <w:rsid w:val="006A2D4F"/>
    <w:rsid w:val="006B0139"/>
    <w:rsid w:val="006B1999"/>
    <w:rsid w:val="006B3073"/>
    <w:rsid w:val="006B58B6"/>
    <w:rsid w:val="006D021D"/>
    <w:rsid w:val="006D115B"/>
    <w:rsid w:val="006E31EB"/>
    <w:rsid w:val="006E75CF"/>
    <w:rsid w:val="006F38BF"/>
    <w:rsid w:val="006F4376"/>
    <w:rsid w:val="006F518B"/>
    <w:rsid w:val="006F657D"/>
    <w:rsid w:val="0071799A"/>
    <w:rsid w:val="007439BD"/>
    <w:rsid w:val="00750CF5"/>
    <w:rsid w:val="0075372E"/>
    <w:rsid w:val="007566D3"/>
    <w:rsid w:val="00757270"/>
    <w:rsid w:val="007738F4"/>
    <w:rsid w:val="0077529C"/>
    <w:rsid w:val="0077769B"/>
    <w:rsid w:val="0078066B"/>
    <w:rsid w:val="00781336"/>
    <w:rsid w:val="00786D02"/>
    <w:rsid w:val="007942F7"/>
    <w:rsid w:val="007A1CC9"/>
    <w:rsid w:val="007A5F5A"/>
    <w:rsid w:val="007B15FD"/>
    <w:rsid w:val="007B503C"/>
    <w:rsid w:val="007B6E31"/>
    <w:rsid w:val="007C7CDB"/>
    <w:rsid w:val="007E1FCB"/>
    <w:rsid w:val="007F4A87"/>
    <w:rsid w:val="00804967"/>
    <w:rsid w:val="00844B0C"/>
    <w:rsid w:val="00846E08"/>
    <w:rsid w:val="008726C9"/>
    <w:rsid w:val="008805DA"/>
    <w:rsid w:val="00880AD9"/>
    <w:rsid w:val="00885E67"/>
    <w:rsid w:val="00890AC8"/>
    <w:rsid w:val="008A18CF"/>
    <w:rsid w:val="008A50CD"/>
    <w:rsid w:val="008A7DC3"/>
    <w:rsid w:val="008B38C6"/>
    <w:rsid w:val="008B641C"/>
    <w:rsid w:val="008E17D8"/>
    <w:rsid w:val="008E4101"/>
    <w:rsid w:val="008F470E"/>
    <w:rsid w:val="00900041"/>
    <w:rsid w:val="00901F52"/>
    <w:rsid w:val="009109B3"/>
    <w:rsid w:val="00914580"/>
    <w:rsid w:val="00916831"/>
    <w:rsid w:val="009262C0"/>
    <w:rsid w:val="009265FA"/>
    <w:rsid w:val="00927946"/>
    <w:rsid w:val="009355DC"/>
    <w:rsid w:val="0094289E"/>
    <w:rsid w:val="00951C2E"/>
    <w:rsid w:val="0096369B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332B3"/>
    <w:rsid w:val="00A4604D"/>
    <w:rsid w:val="00A46BF7"/>
    <w:rsid w:val="00A5598E"/>
    <w:rsid w:val="00A628F7"/>
    <w:rsid w:val="00A65327"/>
    <w:rsid w:val="00A713D0"/>
    <w:rsid w:val="00A715CC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4155"/>
    <w:rsid w:val="00AC4D2E"/>
    <w:rsid w:val="00AC5E3D"/>
    <w:rsid w:val="00AD090E"/>
    <w:rsid w:val="00AD43B7"/>
    <w:rsid w:val="00AE6BC8"/>
    <w:rsid w:val="00AF0733"/>
    <w:rsid w:val="00AF3CDE"/>
    <w:rsid w:val="00B123B6"/>
    <w:rsid w:val="00B338CA"/>
    <w:rsid w:val="00B342DC"/>
    <w:rsid w:val="00B553AF"/>
    <w:rsid w:val="00B57CD9"/>
    <w:rsid w:val="00B728D1"/>
    <w:rsid w:val="00B83ACD"/>
    <w:rsid w:val="00BA3C4A"/>
    <w:rsid w:val="00BA3D49"/>
    <w:rsid w:val="00BA4DC9"/>
    <w:rsid w:val="00BA62D6"/>
    <w:rsid w:val="00BA6427"/>
    <w:rsid w:val="00BB39A5"/>
    <w:rsid w:val="00BB3EFC"/>
    <w:rsid w:val="00BC2A03"/>
    <w:rsid w:val="00BC5D08"/>
    <w:rsid w:val="00BD0335"/>
    <w:rsid w:val="00BE020A"/>
    <w:rsid w:val="00BE55F8"/>
    <w:rsid w:val="00C05BE5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B52FD"/>
    <w:rsid w:val="00CE2238"/>
    <w:rsid w:val="00CF077F"/>
    <w:rsid w:val="00CF78C5"/>
    <w:rsid w:val="00D00488"/>
    <w:rsid w:val="00D03630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149D2"/>
    <w:rsid w:val="00E161AD"/>
    <w:rsid w:val="00E172D7"/>
    <w:rsid w:val="00E25025"/>
    <w:rsid w:val="00E40B20"/>
    <w:rsid w:val="00E607FB"/>
    <w:rsid w:val="00E665DD"/>
    <w:rsid w:val="00E74528"/>
    <w:rsid w:val="00E759F3"/>
    <w:rsid w:val="00E97B2C"/>
    <w:rsid w:val="00EB1DB7"/>
    <w:rsid w:val="00F1118D"/>
    <w:rsid w:val="00F1346C"/>
    <w:rsid w:val="00F345C8"/>
    <w:rsid w:val="00F37EA5"/>
    <w:rsid w:val="00F67B0B"/>
    <w:rsid w:val="00F817A7"/>
    <w:rsid w:val="00FB5D2F"/>
    <w:rsid w:val="00FC6C23"/>
    <w:rsid w:val="00FD23FA"/>
    <w:rsid w:val="00FD7AFD"/>
    <w:rsid w:val="00FF59EC"/>
    <w:rsid w:val="00FF6DDE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9D62A-DA26-4646-BD0C-071EB9C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paragraph" w:customStyle="1" w:styleId="Textbody">
    <w:name w:val="Text body"/>
    <w:basedOn w:val="a"/>
    <w:rsid w:val="003D0A75"/>
    <w:pPr>
      <w:widowControl w:val="0"/>
      <w:suppressAutoHyphens/>
      <w:autoSpaceDN w:val="0"/>
      <w:spacing w:after="12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39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A73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39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opus.com/authid/detail.uri?authorId=55983049100" TargetMode="External"/><Relationship Id="rId18" Type="http://schemas.openxmlformats.org/officeDocument/2006/relationships/hyperlink" Target="https://orcid.org/0009-0006-0392-65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48081/LIIZ2293" TargetMode="External"/><Relationship Id="rId12" Type="http://schemas.openxmlformats.org/officeDocument/2006/relationships/hyperlink" Target="https://www.webofscience.com/wos/author/record/AAQ-9584-2020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orcid.org/0000-0002-0378-870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48081/ZWGZ223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doi.org/10.48081/TZOC4207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orcid.org/0000-0002-2111-683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5981905000" TargetMode="External"/><Relationship Id="rId14" Type="http://schemas.openxmlformats.org/officeDocument/2006/relationships/hyperlink" Target="https://orcid.org/0000-0002-7509-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2025-03-19T05:58:00Z</dcterms:created>
  <dcterms:modified xsi:type="dcterms:W3CDTF">2025-03-19T05:58:00Z</dcterms:modified>
</cp:coreProperties>
</file>